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к Постановлению местной Администрации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>МО Сампсониевское от 11.05.2021 №02-02/18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>муниципальная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По реализации вопроса местного значения, связанного с участием органов местного самоуправления в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 муниципальный округ Сампсониевское, социальную и культурную адаптацию мигрантов, профилактику межнациональных (межэтнических) конфликтов в 2021 году.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</w:rPr>
        <w:t>ПАСПОРТ</w:t>
      </w:r>
    </w:p>
    <w:tbl>
      <w:tblPr>
        <w:tblStyle w:val="ab"/>
        <w:tblW w:w="10275" w:type="dxa"/>
        <w:jc w:val="left"/>
        <w:tblInd w:w="-74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"/>
        <w:gridCol w:w="2760"/>
        <w:gridCol w:w="7005"/>
      </w:tblGrid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1.</w:t>
            </w:r>
          </w:p>
        </w:tc>
        <w:tc>
          <w:tcPr>
            <w:tcW w:w="276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5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Муниципальная программа </w:t>
            </w:r>
            <w:bookmarkStart w:id="0" w:name="_Hlk528232727"/>
            <w:r>
              <w:rPr>
                <w:rFonts w:cs="Times New Roman" w:ascii="Times New Roman" w:hAnsi="Times New Roman"/>
              </w:rPr>
              <w:t>по реализации вопроса местного значения, связанного с участием органов местного самоуправления в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 муниципальный округ Сампсониевское, социальную и культурную адаптацию мигрантов, профилактику межнациональных (межэтнических) конфликтов в 2021 году.</w:t>
            </w:r>
            <w:bookmarkEnd w:id="0"/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2.</w:t>
            </w:r>
          </w:p>
        </w:tc>
        <w:tc>
          <w:tcPr>
            <w:tcW w:w="276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7005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Закон Санкт-Петербурга от 23.09.2009 года № 420-79 «Об организации местного самоуправления в Санкт-Петербурге»;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Устав муниципального образования муниципальный округ Сампсониевское.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3.</w:t>
            </w:r>
          </w:p>
        </w:tc>
        <w:tc>
          <w:tcPr>
            <w:tcW w:w="276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Заказчик муниципальной программы</w:t>
            </w:r>
          </w:p>
        </w:tc>
        <w:tc>
          <w:tcPr>
            <w:tcW w:w="7005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4.</w:t>
            </w:r>
          </w:p>
        </w:tc>
        <w:tc>
          <w:tcPr>
            <w:tcW w:w="276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Наименование структурного подразделения – разработчика ведомственной целевой программы</w:t>
            </w:r>
          </w:p>
        </w:tc>
        <w:tc>
          <w:tcPr>
            <w:tcW w:w="7005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Юридический отдел и финансово-экономический отдел местной Администрации муниципального образования муниципальный округ Сампсониевское 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5.</w:t>
            </w:r>
          </w:p>
        </w:tc>
        <w:tc>
          <w:tcPr>
            <w:tcW w:w="276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Цели муниципальной программы</w:t>
            </w:r>
          </w:p>
        </w:tc>
        <w:tc>
          <w:tcPr>
            <w:tcW w:w="7005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Целью программы является содействие органам государственной власти, иным органам государственного управления в реализации ими своих полномочий в рамках обеспечения обмена информации, совместной профилактической деятельности и обеспечения информированности более широких слоев населения в рамках исполнения вышеуказанного вопроса местного значения.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6.</w:t>
            </w:r>
          </w:p>
        </w:tc>
        <w:tc>
          <w:tcPr>
            <w:tcW w:w="276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Задачи муниципальной программы</w:t>
            </w:r>
          </w:p>
        </w:tc>
        <w:tc>
          <w:tcPr>
            <w:tcW w:w="7005" w:type="dxa"/>
            <w:tcBorders/>
          </w:tcPr>
          <w:p>
            <w:pPr>
              <w:pStyle w:val="Style19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 Взаимодействие с органами государственной власти, иными органами государственного управления в рамках предусмотренных полномочий, в том числе участие в информационном обмене;</w:t>
            </w:r>
          </w:p>
          <w:p>
            <w:pPr>
              <w:pStyle w:val="Style19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 участие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- подготовка и размещение материалов в муниципальных средствах массовой информации. 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- укрепление на территории муниципального образования межнационального и межконфессионного согласия,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человека, создание условий, способствующих социальной и культурной адаптации мигрантов, профилактика межнациональных (межэтнических) конфликтов.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6.</w:t>
            </w:r>
          </w:p>
        </w:tc>
        <w:tc>
          <w:tcPr>
            <w:tcW w:w="276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Объём финансирования ведомственной целевой программы</w:t>
            </w:r>
          </w:p>
        </w:tc>
        <w:tc>
          <w:tcPr>
            <w:tcW w:w="7005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0,00 руб.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7.</w:t>
            </w:r>
          </w:p>
        </w:tc>
        <w:tc>
          <w:tcPr>
            <w:tcW w:w="276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005" w:type="dxa"/>
            <w:tcBorders/>
          </w:tcPr>
          <w:p>
            <w:pPr>
              <w:pStyle w:val="Normal"/>
              <w:spacing w:lineRule="auto" w:line="240" w:before="0" w:after="0"/>
              <w:ind w:hanging="3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 течение 2021 года.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8.</w:t>
            </w:r>
          </w:p>
        </w:tc>
        <w:tc>
          <w:tcPr>
            <w:tcW w:w="276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Ожидаемые конечные результаты ведомственной целевой программы</w:t>
            </w:r>
          </w:p>
        </w:tc>
        <w:tc>
          <w:tcPr>
            <w:tcW w:w="7005" w:type="dxa"/>
            <w:tcBorders/>
          </w:tcPr>
          <w:p>
            <w:pPr>
              <w:pStyle w:val="Style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Реализация программы позволит в более полном объеме обеспечить:</w:t>
            </w:r>
          </w:p>
          <w:p>
            <w:pPr>
              <w:pStyle w:val="Style19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 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- 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законодательством.</w:t>
            </w:r>
          </w:p>
        </w:tc>
      </w:tr>
      <w:tr>
        <w:trPr>
          <w:trHeight w:val="20" w:hRule="atLeast"/>
        </w:trPr>
        <w:tc>
          <w:tcPr>
            <w:tcW w:w="5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276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</w:rPr>
              <w:t>Источник финансирования программы</w:t>
            </w:r>
          </w:p>
        </w:tc>
        <w:tc>
          <w:tcPr>
            <w:tcW w:w="7005" w:type="dxa"/>
            <w:tcBorders/>
          </w:tcPr>
          <w:p>
            <w:pPr>
              <w:pStyle w:val="Style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 внутригородского муниципального образования Санкт-Петербурга муниципальный округ Сампсониевское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Перечень основных мероприятий муниципальной программы: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Style w:val="ab"/>
        <w:tblW w:w="10313" w:type="dxa"/>
        <w:jc w:val="left"/>
        <w:tblInd w:w="-74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0"/>
        <w:gridCol w:w="3795"/>
        <w:gridCol w:w="2160"/>
        <w:gridCol w:w="2010"/>
        <w:gridCol w:w="1808"/>
      </w:tblGrid>
      <w:tr>
        <w:trPr>
          <w:trHeight w:val="855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Наименование мероприятия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Сроки исполнения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мероприятия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Планируемые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объемы финансирования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</w:rPr>
              <w:t>Ответственный исполнитель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1.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Участие в деятельности совета по межнациональным отношениям при администрации Выборгского района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160" w:type="dxa"/>
            <w:tcBorders/>
          </w:tcPr>
          <w:p>
            <w:pPr>
              <w:pStyle w:val="Normal"/>
              <w:tabs>
                <w:tab w:val="clear" w:pos="708"/>
                <w:tab w:val="left" w:pos="1830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В течение года, по плану Администрации Выборгского района Санкт-Петербурга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Участие в совещаниях, конференциях, семинарах, проводимых Комитетом по межнациональным отношениям и реализации миграционной политики в Санкт-Петербурге, и СПб ГКУ "Санкт-Петербургский Дом национальностей"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В течение года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Местная Администрация МО Сампсониевское 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Организация и осуществление взаимообмена информацией с Прокуратурой Выборгского района Санкт-Петербурга, территориальными органами внутренних дел, районными подразделениями УФМС, ГУ МВД России по СПб и ЛО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В течение года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Информирование населения путем размещения статей на сайте муниципального образования и (или) в газете муниципального образования «Сампсониевский вестник» о законодательстве в сфере миграции, о порядке миграционного учета, трудоустройства, пребывания и проживания в Санкт-Петербурге 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 раза в квартал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5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Издание и размещение плакатов с разъяснением действующего законодательства в сфере миграции на стендах муниципального образования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течение года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  <w:tr>
        <w:trPr>
          <w:trHeight w:val="1057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в помещении муниципального образования муниципальный округ Сампсониевское «Уголка мигранта»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 течение года 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Взаимодействие с национально-культурными объединениями и автономиями Санкт-Петербурга путем организации и проведения круглых столов по проблемам миграции и вопросам укрепления межнациональных (межэтнических) отношений</w:t>
            </w:r>
          </w:p>
        </w:tc>
        <w:tc>
          <w:tcPr>
            <w:tcW w:w="21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течении года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</w:tbl>
    <w:p>
      <w:pPr>
        <w:pStyle w:val="Normal"/>
        <w:spacing w:lineRule="auto" w:line="240" w:before="0" w:after="0"/>
        <w:ind w:firstLine="334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>Целевые показатели (индикаторы) достижения цели и непосредственные результаты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К концу реализации Программы предусматривается достижение следующих целевых показателей (индикаторов):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повышения прозрачности и открытости деятельности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- роста качества и эффективности муниципального управления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- увеличения объема охвата целевой аудитории населения округа</w:t>
      </w:r>
    </w:p>
    <w:p>
      <w:pPr>
        <w:pStyle w:val="Style19"/>
        <w:ind w:hanging="13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cs="Times New Roman" w:ascii="Times New Roman" w:hAnsi="Times New Roman"/>
        </w:rPr>
        <w:t>- 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lang w:eastAsia="ru-RU"/>
        </w:rPr>
        <w:t>Ожидаемые конечные результаты реализации программы:</w:t>
      </w:r>
    </w:p>
    <w:p>
      <w:pPr>
        <w:pStyle w:val="Style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Реализация программы позволит в более полном объеме обеспечить:</w:t>
      </w:r>
    </w:p>
    <w:p>
      <w:pPr>
        <w:pStyle w:val="Style19"/>
        <w:ind w:hanging="13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</w:r>
    </w:p>
    <w:p>
      <w:pPr>
        <w:pStyle w:val="Style19"/>
        <w:ind w:hanging="13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Оценка эффективности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2A2828"/>
        </w:rPr>
      </w:pPr>
      <w:r>
        <w:rPr>
          <w:rFonts w:cs="Times New Roman" w:ascii="Times New Roman" w:hAnsi="Times New Roman"/>
        </w:rPr>
        <w:t xml:space="preserve">Прогнозируемые конечные результаты реализации Программы предусматривают </w:t>
      </w:r>
      <w:r>
        <w:rPr>
          <w:rFonts w:cs="Times New Roman" w:ascii="Times New Roman" w:hAnsi="Times New Roman"/>
          <w:color w:val="2A2828"/>
        </w:rPr>
        <w:t>следующие приоритеты: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определение, разработка и реализация эффективных социо-культурных технологий распространения норм толерантного поведения и профилактика различных межнациональных (межэтнических) конфликтов;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улучшение эффективности предупредительных мероприятий социального, правового и иного характера, направленных на выявление и устранение причин и условий, способствующих межнациональным (межэтнических) конфликтам;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улучшение взаимообмена информацией с органами государственной власти, иными органами государственного управления;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укрепление межнационального и межконфессионального согласия на территории муниципального образования муниципальный округ Сампсониевское.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9"/>
    <w:qFormat/>
    <w:pPr>
      <w:widowControl w:val="false"/>
      <w:spacing w:lineRule="auto" w:line="240" w:before="108" w:after="108"/>
      <w:jc w:val="center"/>
      <w:outlineLvl w:val="0"/>
    </w:pPr>
    <w:rPr>
      <w:rFonts w:ascii="Arial" w:hAnsi="Arial" w:eastAsia="Times New Roman" w:cs="Arial"/>
      <w:b/>
      <w:bCs/>
      <w:color w:val="26282F"/>
      <w:sz w:val="26"/>
      <w:szCs w:val="2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Pr>
      <w:rFonts w:ascii="Arial" w:hAnsi="Arial" w:eastAsia="Times New Roman" w:cs="Arial"/>
      <w:b/>
      <w:bCs/>
      <w:color w:val="26282F"/>
      <w:sz w:val="26"/>
      <w:szCs w:val="26"/>
      <w:lang w:eastAsia="ru-RU"/>
    </w:rPr>
  </w:style>
  <w:style w:type="character" w:styleId="Style13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12" w:customStyle="1">
    <w:name w:val="Заголовок1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yle19" w:customStyle="1">
    <w:name w:val="Нормальный (таблица)"/>
    <w:basedOn w:val="Normal"/>
    <w:next w:val="Normal"/>
    <w:uiPriority w:val="99"/>
    <w:qFormat/>
    <w:pPr>
      <w:widowControl w:val="false"/>
      <w:spacing w:lineRule="auto" w:line="240" w:before="0" w:after="0"/>
      <w:jc w:val="both"/>
    </w:pPr>
    <w:rPr>
      <w:rFonts w:ascii="Arial" w:hAnsi="Arial" w:eastAsia="" w:cs="Arial" w:eastAsiaTheme="minorEastAsia"/>
      <w:sz w:val="26"/>
      <w:szCs w:val="26"/>
      <w:lang w:eastAsia="ru-RU"/>
    </w:rPr>
  </w:style>
  <w:style w:type="paragraph" w:styleId="Style20" w:customStyle="1">
    <w:name w:val="Прижатый влево"/>
    <w:basedOn w:val="Normal"/>
    <w:next w:val="Normal"/>
    <w:uiPriority w:val="99"/>
    <w:qFormat/>
    <w:pPr>
      <w:widowControl w:val="false"/>
      <w:spacing w:lineRule="auto" w:line="240" w:before="0" w:after="0"/>
    </w:pPr>
    <w:rPr>
      <w:rFonts w:ascii="Arial" w:hAnsi="Arial" w:eastAsia="" w:cs="Arial" w:eastAsiaTheme="minorEastAsia"/>
      <w:sz w:val="26"/>
      <w:szCs w:val="26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LibreOffice/6.4.0.3$Windows_x86 LibreOffice_project/b0a288ab3d2d4774cb44b62f04d5d28733ac6df8</Application>
  <Pages>3</Pages>
  <Words>841</Words>
  <Characters>6951</Characters>
  <CharactersWithSpaces>7706</CharactersWithSpaces>
  <Paragraphs>104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2021-05-17T12:09:00Z</dcterms:created>
  <dc:creator>Юрист</dc:creator>
  <dc:description/>
  <dc:language>ru-RU</dc:language>
  <cp:lastModifiedBy/>
  <cp:lastPrinted>2021-05-17T10:59:00Z</cp:lastPrinted>
  <dcterms:modified xsi:type="dcterms:W3CDTF">2021-05-11T15:27:16Z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