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>Приложение №1</w:t>
      </w:r>
      <w:r>
        <w:rPr>
          <w:rFonts w:cs="Times New Roman" w:ascii="Times New Roman" w:hAnsi="Times New Roman"/>
          <w:sz w:val="24"/>
          <w:szCs w:val="24"/>
        </w:rPr>
        <w:t>3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>к Постановлению местной Администрации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МО Сампсониевское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u w:val="none"/>
        </w:rPr>
        <w:t>о</w:t>
      </w: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 xml:space="preserve">т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u w:val="none"/>
          <w:lang w:eastAsia="ar-SA"/>
        </w:rPr>
        <w:t>28.10.2021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u w:val="none"/>
          <w:lang w:eastAsia="ar-SA"/>
        </w:rPr>
        <w:t xml:space="preserve"> №02-02/39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  <w:t>муниципальная 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По реализации вопроса местного значения, связанного с участием органов местного самоуправления в создании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муниципального образования муниципальный округ Сампсониевское, социальную и культурную адаптацию мигрантов, профилактику межнациональных (межэтнических) конфликтов в 2022 году.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</w:rPr>
        <w:t>ПАСПОРТ</w:t>
      </w:r>
    </w:p>
    <w:tbl>
      <w:tblPr>
        <w:tblStyle w:val="ab"/>
        <w:tblW w:w="10275" w:type="dxa"/>
        <w:jc w:val="left"/>
        <w:tblInd w:w="-74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"/>
        <w:gridCol w:w="2839"/>
        <w:gridCol w:w="6926"/>
      </w:tblGrid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1.</w:t>
            </w:r>
          </w:p>
        </w:tc>
        <w:tc>
          <w:tcPr>
            <w:tcW w:w="2839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Наименование муниципальной программы</w:t>
            </w:r>
          </w:p>
        </w:tc>
        <w:tc>
          <w:tcPr>
            <w:tcW w:w="6926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Муниципальная программа </w:t>
            </w:r>
            <w:bookmarkStart w:id="0" w:name="_Hlk528232727"/>
            <w:r>
              <w:rPr>
                <w:rFonts w:cs="Times New Roman" w:ascii="Times New Roman" w:hAnsi="Times New Roman"/>
              </w:rPr>
              <w:t>по реализации вопроса местного значения, связанного с участием органов местного самоуправления в создании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муниципального образования муниципальный округ Сампсониевское, социальную и культурную адаптацию мигрантов, профилактику межнациональных (межэтнических) конфликтов в 2022 году.</w:t>
            </w:r>
            <w:bookmarkEnd w:id="0"/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2.</w:t>
            </w:r>
          </w:p>
        </w:tc>
        <w:tc>
          <w:tcPr>
            <w:tcW w:w="283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926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Закон Санкт-Петербурга от 23.09.2009 года № 420-79 «Об организации местного самоуправления в Санкт-Петербурге»;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Устав муниципального образования муниципальный округ Сампсониевское.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3.</w:t>
            </w:r>
          </w:p>
        </w:tc>
        <w:tc>
          <w:tcPr>
            <w:tcW w:w="2839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Заказчик муниципальной программы</w:t>
            </w:r>
          </w:p>
        </w:tc>
        <w:tc>
          <w:tcPr>
            <w:tcW w:w="6926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муниципального образования муниципальный округ Сампсониевское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4.</w:t>
            </w:r>
          </w:p>
        </w:tc>
        <w:tc>
          <w:tcPr>
            <w:tcW w:w="283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Наименование структурного подразделения – разработчика муниципальной программы</w:t>
            </w:r>
          </w:p>
        </w:tc>
        <w:tc>
          <w:tcPr>
            <w:tcW w:w="6926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Юридический отдел и финансово-экономический отдел местной Администрации муниципального образования муниципальный округ Сампсониевское 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5.</w:t>
            </w:r>
          </w:p>
        </w:tc>
        <w:tc>
          <w:tcPr>
            <w:tcW w:w="2839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Цели муниципальной программы</w:t>
            </w:r>
          </w:p>
        </w:tc>
        <w:tc>
          <w:tcPr>
            <w:tcW w:w="6926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Целью программы является содействие органам государственной власти, иным органам государственного управления в реализации ими своих полномочий в рамках обеспечения обмена информации, совместной профилактической деятельности и обеспечения информированности более широких слоев населения в рамках исполнения вышеуказанного вопроса местного значения.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6.</w:t>
            </w:r>
          </w:p>
        </w:tc>
        <w:tc>
          <w:tcPr>
            <w:tcW w:w="2839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Задачи муниципальной программы</w:t>
            </w:r>
          </w:p>
        </w:tc>
        <w:tc>
          <w:tcPr>
            <w:tcW w:w="6926" w:type="dxa"/>
            <w:tcBorders/>
          </w:tcPr>
          <w:p>
            <w:pPr>
              <w:pStyle w:val="Style20"/>
              <w:ind w:hanging="13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 Взаимодействие с органами государственной власти, иными органами государственного управления в рамках предусмотренных полномочий, в том числе участие в информационном обмене;</w:t>
            </w:r>
          </w:p>
          <w:p>
            <w:pPr>
              <w:pStyle w:val="Style20"/>
              <w:ind w:hanging="13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 участие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- подготовка и размещение материалов в муниципальных средствах массовой информации. 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- укрепление на территории муниципального образования межнационального и межконфессионного согласия,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человека, создание условий, способствующих социальной и культурной адаптации мигрантов, профилактика межнациональных (межэтнических) конфликтов.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6.</w:t>
            </w:r>
          </w:p>
        </w:tc>
        <w:tc>
          <w:tcPr>
            <w:tcW w:w="2839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Объём финансирования</w:t>
            </w:r>
            <w:r>
              <w:rPr>
                <w:rFonts w:eastAsia="Times New Roman" w:cs="Times New Roman" w:ascii="Times New Roman" w:hAnsi="Times New Roman"/>
                <w:b/>
                <w:lang w:val="ru-RU" w:eastAsia="ru-RU"/>
              </w:rPr>
              <w:t xml:space="preserve"> муниципальной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программы</w:t>
            </w:r>
          </w:p>
        </w:tc>
        <w:tc>
          <w:tcPr>
            <w:tcW w:w="6926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0,00 руб.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7.</w:t>
            </w:r>
          </w:p>
        </w:tc>
        <w:tc>
          <w:tcPr>
            <w:tcW w:w="2839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926" w:type="dxa"/>
            <w:tcBorders/>
          </w:tcPr>
          <w:p>
            <w:pPr>
              <w:pStyle w:val="Normal"/>
              <w:spacing w:lineRule="auto" w:line="240" w:before="0" w:after="0"/>
              <w:ind w:hanging="3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 течение 2022 года.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8.</w:t>
            </w:r>
          </w:p>
        </w:tc>
        <w:tc>
          <w:tcPr>
            <w:tcW w:w="2839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Ожидаемые конечные результаты муниципальной программы</w:t>
            </w:r>
          </w:p>
        </w:tc>
        <w:tc>
          <w:tcPr>
            <w:tcW w:w="6926" w:type="dxa"/>
            <w:tcBorders/>
          </w:tcPr>
          <w:p>
            <w:pPr>
              <w:pStyle w:val="Style2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Реализация программы позволит в более полном объеме обеспечить:</w:t>
            </w:r>
          </w:p>
          <w:p>
            <w:pPr>
              <w:pStyle w:val="Style20"/>
              <w:ind w:hanging="13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 постоянное взаимодействие и обмен информацией с органами государственной власти, иными органами государственного управления в рамках предусмотренных полномочий;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- участие органов местного самоуправления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законодательством.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2839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</w:rPr>
              <w:t>Источник финансирования программы</w:t>
            </w:r>
          </w:p>
        </w:tc>
        <w:tc>
          <w:tcPr>
            <w:tcW w:w="6926" w:type="dxa"/>
            <w:tcBorders/>
          </w:tcPr>
          <w:p>
            <w:pPr>
              <w:pStyle w:val="Style2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 внутригородского муниципального образования Санкт-Петербурга муниципальный округ Сампсониевское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Перечень основных мероприятий муниципальной программы: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Style w:val="ab"/>
        <w:tblW w:w="10313" w:type="dxa"/>
        <w:jc w:val="left"/>
        <w:tblInd w:w="-74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0"/>
        <w:gridCol w:w="3795"/>
        <w:gridCol w:w="2160"/>
        <w:gridCol w:w="2010"/>
        <w:gridCol w:w="1808"/>
      </w:tblGrid>
      <w:tr>
        <w:trPr>
          <w:trHeight w:val="855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Наименование мероприятия</w:t>
            </w:r>
          </w:p>
        </w:tc>
        <w:tc>
          <w:tcPr>
            <w:tcW w:w="216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Сроки исполнения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мероприятия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Планируемые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объемы финансирования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</w:rPr>
              <w:t>Ответственный исполнитель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1.</w:t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Участие в деятельности совета 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ru-RU" w:eastAsia="en-US" w:bidi="ar-SA"/>
              </w:rPr>
              <w:t>по вопросам межнациональных отношений в Выборгском районе Санкт-Петербурга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160" w:type="dxa"/>
            <w:tcBorders/>
          </w:tcPr>
          <w:p>
            <w:pPr>
              <w:pStyle w:val="Normal"/>
              <w:tabs>
                <w:tab w:val="clear" w:pos="709"/>
                <w:tab w:val="left" w:pos="1830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В течение года, по плану Администрации Выборгского района Санкт-Петербурга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МО Сампсониевское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Участие в совещаниях, конференциях, семинарах, проводимых Комитетом по межнациональным отношениям и реализации миграционной политики в Санкт-Петербурге, и СПб ГКУ "Санкт-Петербургский Дом национальностей"</w:t>
            </w:r>
          </w:p>
        </w:tc>
        <w:tc>
          <w:tcPr>
            <w:tcW w:w="216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В течение года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Местная Администрация МО Сампсониевское 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</w:t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Организация и осуществление взаимообмена информацией с Прокуратурой Выборгского района Санкт-Петербурга, территориальными органами внутренних дел, районными подразделениями УФМС, ГУ МВД России по СПб и ЛО</w:t>
            </w:r>
          </w:p>
        </w:tc>
        <w:tc>
          <w:tcPr>
            <w:tcW w:w="216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В течение года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МО Сампсониевское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Информирование населения путем размещения статей на сайте муниципального образования и (или) в газете муниципального образования «Сампсониевский вестник» о законодательстве в сфере миграции, о порядке миграционного учета, трудоустройства, пребывания и проживания в Санкт-Петербурге </w:t>
            </w:r>
          </w:p>
        </w:tc>
        <w:tc>
          <w:tcPr>
            <w:tcW w:w="216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 раза в квартал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МО Сампсониевское</w:t>
            </w:r>
          </w:p>
        </w:tc>
      </w:tr>
      <w:tr>
        <w:trPr>
          <w:trHeight w:val="1057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5</w:t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Создание в помещении муниципального образования муниципальный округ Сампсониевское «Уголка мигранта»</w:t>
            </w:r>
          </w:p>
        </w:tc>
        <w:tc>
          <w:tcPr>
            <w:tcW w:w="216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 течение года 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МО Сампсониевское</w:t>
            </w:r>
          </w:p>
        </w:tc>
      </w:tr>
    </w:tbl>
    <w:p>
      <w:pPr>
        <w:pStyle w:val="Normal"/>
        <w:spacing w:lineRule="auto" w:line="240" w:before="0" w:after="0"/>
        <w:ind w:firstLine="334"/>
        <w:rPr>
          <w:rFonts w:ascii="Times New Roman" w:hAnsi="Times New Roman" w:eastAsia="Times New Roman" w:cs="Times New Roman"/>
          <w:b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  <w:t>Целевые показатели (индикаторы) достижения цели и непосредственные результаты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К концу реализации Программы предусматривается достижение следующих целевых показателей (индикаторов):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повышения прозрачности и открытости деятельности муниципального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- роста качества и эффективности муниципального управления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- увеличения объема охвата целевой аудитории населения округа</w:t>
      </w:r>
    </w:p>
    <w:p>
      <w:pPr>
        <w:pStyle w:val="Style20"/>
        <w:ind w:hanging="13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постоянное взаимодействие и обмен информацией с органами государственной власти, иными органами государственного управления в рамках предусмотренных полномочий;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cs="Times New Roman" w:ascii="Times New Roman" w:hAnsi="Times New Roman"/>
        </w:rPr>
        <w:t>- участие органов местного самоуправления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lang w:eastAsia="ru-RU"/>
        </w:rPr>
        <w:t>Ожидаемые конечные результаты реализации программы:</w:t>
      </w:r>
    </w:p>
    <w:p>
      <w:pPr>
        <w:pStyle w:val="Style2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Реализация программы позволит в более полном объеме обеспечить:</w:t>
      </w:r>
    </w:p>
    <w:p>
      <w:pPr>
        <w:pStyle w:val="Style20"/>
        <w:ind w:hanging="13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постоянное взаимодействие и обмен информацией с органами государственной власти, иными органами государственного управления в рамках предусмотренных полномочий;</w:t>
      </w:r>
    </w:p>
    <w:p>
      <w:pPr>
        <w:pStyle w:val="Style20"/>
        <w:ind w:hanging="13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участие органов местного самоуправления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Оценка эффективности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2A2828"/>
        </w:rPr>
      </w:pPr>
      <w:r>
        <w:rPr>
          <w:rFonts w:cs="Times New Roman" w:ascii="Times New Roman" w:hAnsi="Times New Roman"/>
        </w:rPr>
        <w:t xml:space="preserve">Прогнозируемые конечные результаты реализации Программы предусматривают </w:t>
      </w:r>
      <w:r>
        <w:rPr>
          <w:rFonts w:cs="Times New Roman" w:ascii="Times New Roman" w:hAnsi="Times New Roman"/>
          <w:color w:val="2A2828"/>
        </w:rPr>
        <w:t>следующие приоритеты: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определение, разработка и реализация эффективных социо-культурных технологий распространения норм толерантного поведения и профилактика различных межнациональных (межэтнических) конфликтов;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улучшение эффективности предупредительных мероприятий социального, правового и иного характера, направленных на выявление и устранение причин и условий, способствующих межнациональным (межэтнических) конфликтам;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улучшение взаимообмена информацией с органами государственной власти, иными органами государственного управления;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укрепление межнационального и межконфессионального согласия на территории муниципального образования муниципальный округ Сампсониевское.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9"/>
    <w:qFormat/>
    <w:pPr>
      <w:widowControl w:val="false"/>
      <w:spacing w:lineRule="auto" w:line="240" w:before="108" w:after="108"/>
      <w:jc w:val="center"/>
      <w:outlineLvl w:val="0"/>
    </w:pPr>
    <w:rPr>
      <w:rFonts w:ascii="Arial" w:hAnsi="Arial" w:eastAsia="Times New Roman" w:cs="Arial"/>
      <w:b/>
      <w:bCs/>
      <w:color w:val="26282F"/>
      <w:sz w:val="26"/>
      <w:szCs w:val="2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Pr>
      <w:rFonts w:ascii="Arial" w:hAnsi="Arial" w:eastAsia="Times New Roman" w:cs="Arial"/>
      <w:b/>
      <w:bCs/>
      <w:color w:val="26282F"/>
      <w:sz w:val="26"/>
      <w:szCs w:val="26"/>
      <w:lang w:eastAsia="ru-RU"/>
    </w:rPr>
  </w:style>
  <w:style w:type="character" w:styleId="Style13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12">
    <w:name w:val="Основной шрифт абзаца1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sz w:val="22"/>
    </w:rPr>
  </w:style>
  <w:style w:type="character" w:styleId="Style14">
    <w:name w:val="Основной шрифт абзаца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sz w:val="22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13" w:customStyle="1">
    <w:name w:val="Заголовок1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Style20" w:customStyle="1">
    <w:name w:val="Нормальный (таблица)"/>
    <w:basedOn w:val="Normal"/>
    <w:next w:val="Normal"/>
    <w:uiPriority w:val="99"/>
    <w:qFormat/>
    <w:pPr>
      <w:widowControl w:val="false"/>
      <w:spacing w:lineRule="auto" w:line="240" w:before="0" w:after="0"/>
      <w:jc w:val="both"/>
    </w:pPr>
    <w:rPr>
      <w:rFonts w:ascii="Arial" w:hAnsi="Arial" w:eastAsia="" w:cs="Arial" w:eastAsiaTheme="minorEastAsia"/>
      <w:sz w:val="26"/>
      <w:szCs w:val="26"/>
      <w:lang w:eastAsia="ru-RU"/>
    </w:rPr>
  </w:style>
  <w:style w:type="paragraph" w:styleId="Style21" w:customStyle="1">
    <w:name w:val="Прижатый влево"/>
    <w:basedOn w:val="Normal"/>
    <w:next w:val="Normal"/>
    <w:uiPriority w:val="99"/>
    <w:qFormat/>
    <w:pPr>
      <w:widowControl w:val="false"/>
      <w:spacing w:lineRule="auto" w:line="240" w:before="0" w:after="0"/>
    </w:pPr>
    <w:rPr>
      <w:rFonts w:ascii="Arial" w:hAnsi="Arial" w:eastAsia="" w:cs="Arial" w:eastAsiaTheme="minorEastAsia"/>
      <w:sz w:val="26"/>
      <w:szCs w:val="26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2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Liberation Serif" w:cs="Liberation Serif"/>
      <w:color w:val="auto"/>
      <w:kern w:val="2"/>
      <w:sz w:val="22"/>
      <w:szCs w:val="22"/>
      <w:lang w:val="ru-RU" w:eastAsia="hi-IN" w:bidi="ar-SA"/>
    </w:rPr>
  </w:style>
  <w:style w:type="paragraph" w:styleId="Style23">
    <w:name w:val="Текст выноски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paragraph" w:styleId="Style24">
    <w:name w:val="Обычный (веб)"/>
    <w:basedOn w:val="Normal"/>
    <w:qFormat/>
    <w:pPr>
      <w:spacing w:before="280" w:after="280"/>
    </w:pPr>
    <w:rPr/>
  </w:style>
  <w:style w:type="paragraph" w:styleId="14">
    <w:name w:val="Указатель1"/>
    <w:basedOn w:val="Normal"/>
    <w:qFormat/>
    <w:pPr/>
    <w:rPr>
      <w:rFonts w:eastAsia="Arial"/>
      <w:lang w:eastAsia="ar-SA"/>
    </w:rPr>
  </w:style>
  <w:style w:type="paragraph" w:styleId="Style25">
    <w:name w:val="Название объекта"/>
    <w:basedOn w:val="Normal"/>
    <w:qFormat/>
    <w:pPr>
      <w:spacing w:before="120" w:after="120"/>
    </w:pPr>
    <w:rPr>
      <w:rFonts w:eastAsia="Arial"/>
      <w:i/>
      <w:iCs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LibreOffice/6.4.0.3$Windows_x86 LibreOffice_project/b0a288ab3d2d4774cb44b62f04d5d28733ac6df8</Application>
  <Pages>3</Pages>
  <Words>785</Words>
  <Characters>6528</Characters>
  <CharactersWithSpaces>7235</CharactersWithSpaces>
  <Paragraphs>95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dc:description/>
  <dc:language>ru-RU</dc:language>
  <cp:lastModifiedBy/>
  <cp:lastPrinted>2021-10-29T13:55:25Z</cp:lastPrinted>
  <dcterms:modified xsi:type="dcterms:W3CDTF">2021-10-29T13:55:49Z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